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35" w:rsidRPr="002E183C" w:rsidRDefault="00AD2A1B" w:rsidP="002E183C">
      <w:pPr>
        <w:pStyle w:val="Body"/>
        <w:rPr>
          <w:b/>
          <w:bCs/>
          <w:color w:val="auto"/>
        </w:rPr>
      </w:pPr>
      <w:bookmarkStart w:id="0" w:name="_GoBack"/>
      <w:bookmarkEnd w:id="0"/>
      <w:r w:rsidRPr="002E183C">
        <w:rPr>
          <w:b/>
          <w:bCs/>
          <w:color w:val="auto"/>
        </w:rPr>
        <w:t>Budget &amp; Service Charges 2020</w:t>
      </w:r>
    </w:p>
    <w:p w:rsidR="00121335" w:rsidRPr="002E183C" w:rsidRDefault="00121335" w:rsidP="002E183C">
      <w:pPr>
        <w:pStyle w:val="Body"/>
        <w:rPr>
          <w:color w:val="auto"/>
        </w:rPr>
      </w:pPr>
    </w:p>
    <w:p w:rsidR="00121335" w:rsidRPr="002E183C" w:rsidRDefault="009D20EE" w:rsidP="002E183C">
      <w:pPr>
        <w:pStyle w:val="Default"/>
        <w:rPr>
          <w:rFonts w:ascii="Arial" w:eastAsia="Arial" w:hAnsi="Arial" w:cs="Arial"/>
          <w:color w:val="auto"/>
          <w:sz w:val="24"/>
          <w:szCs w:val="24"/>
        </w:rPr>
      </w:pPr>
      <w:r w:rsidRPr="002E183C">
        <w:rPr>
          <w:rFonts w:ascii="Arial" w:hAnsi="Arial" w:cs="Arial"/>
          <w:color w:val="auto"/>
          <w:sz w:val="24"/>
          <w:szCs w:val="24"/>
        </w:rPr>
        <w:t>Following on from notes issued in 2019 t</w:t>
      </w:r>
      <w:r w:rsidR="00AD2A1B" w:rsidRPr="002E183C">
        <w:rPr>
          <w:rFonts w:ascii="Arial" w:hAnsi="Arial" w:cs="Arial"/>
          <w:color w:val="auto"/>
          <w:sz w:val="24"/>
          <w:szCs w:val="24"/>
        </w:rPr>
        <w:t xml:space="preserve">his note has been produced to help dwelling holders understand how Budgets are drawn up and how Service Charges are calculated. </w:t>
      </w:r>
    </w:p>
    <w:p w:rsidR="00121335" w:rsidRPr="002E183C" w:rsidRDefault="00121335" w:rsidP="002E183C">
      <w:pPr>
        <w:pStyle w:val="Default"/>
        <w:rPr>
          <w:rFonts w:ascii="Arial" w:eastAsia="Arial" w:hAnsi="Arial" w:cs="Arial"/>
          <w:b/>
          <w:bCs/>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b/>
          <w:bCs/>
          <w:color w:val="auto"/>
          <w:sz w:val="24"/>
          <w:szCs w:val="24"/>
          <w:lang w:val="da-DK"/>
        </w:rPr>
        <w:t xml:space="preserve">Budget </w:t>
      </w:r>
    </w:p>
    <w:p w:rsidR="005743CF" w:rsidRPr="002E183C" w:rsidRDefault="005743CF" w:rsidP="002E183C">
      <w:pPr>
        <w:pStyle w:val="Default"/>
        <w:rPr>
          <w:rFonts w:ascii="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 xml:space="preserve">Each year, a budget is drawn up for the Estate, Leisure Suite and Apartment Blocks. As with your domestic budget, these endeavour to capture the regular, recurring costs of running the development; they may also include planned, known costs such as a roof repair. </w:t>
      </w: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The starting point is the previous year</w:t>
      </w:r>
      <w:r w:rsidRPr="002E183C">
        <w:rPr>
          <w:rFonts w:ascii="Arial" w:hAnsi="Arial" w:cs="Arial"/>
          <w:color w:val="auto"/>
          <w:sz w:val="24"/>
          <w:szCs w:val="24"/>
          <w:lang w:val="fr-FR"/>
        </w:rPr>
        <w:t>’</w:t>
      </w:r>
      <w:r w:rsidRPr="002E183C">
        <w:rPr>
          <w:rFonts w:ascii="Arial" w:hAnsi="Arial" w:cs="Arial"/>
          <w:color w:val="auto"/>
          <w:sz w:val="24"/>
          <w:szCs w:val="24"/>
        </w:rPr>
        <w:t>s budget with some recurring items, such as electricity</w:t>
      </w:r>
      <w:r w:rsidR="009D20EE" w:rsidRPr="002E183C">
        <w:rPr>
          <w:rFonts w:ascii="Arial" w:hAnsi="Arial" w:cs="Arial"/>
          <w:color w:val="auto"/>
          <w:sz w:val="24"/>
          <w:szCs w:val="24"/>
        </w:rPr>
        <w:t>.</w:t>
      </w:r>
      <w:r w:rsidRPr="002E183C">
        <w:rPr>
          <w:rFonts w:ascii="Arial" w:hAnsi="Arial" w:cs="Arial"/>
          <w:color w:val="auto"/>
          <w:sz w:val="24"/>
          <w:szCs w:val="24"/>
        </w:rPr>
        <w:t xml:space="preserve"> </w:t>
      </w:r>
    </w:p>
    <w:p w:rsidR="00121335" w:rsidRPr="002E183C" w:rsidRDefault="00121335" w:rsidP="002E183C">
      <w:pPr>
        <w:pStyle w:val="Default"/>
        <w:rPr>
          <w:rFonts w:ascii="Arial" w:eastAsia="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 xml:space="preserve">The costs for each block vary according to its particular needs (e.g. Sheaf 2 has a lift) and </w:t>
      </w:r>
      <w:r w:rsidR="009D20EE" w:rsidRPr="002E183C">
        <w:rPr>
          <w:rFonts w:ascii="Arial" w:hAnsi="Arial" w:cs="Arial"/>
          <w:color w:val="auto"/>
          <w:sz w:val="24"/>
          <w:szCs w:val="24"/>
        </w:rPr>
        <w:t xml:space="preserve">they </w:t>
      </w:r>
      <w:r w:rsidRPr="002E183C">
        <w:rPr>
          <w:rFonts w:ascii="Arial" w:hAnsi="Arial" w:cs="Arial"/>
          <w:color w:val="auto"/>
          <w:sz w:val="24"/>
          <w:szCs w:val="24"/>
        </w:rPr>
        <w:t xml:space="preserve">are shared between the residents of that block. </w:t>
      </w:r>
    </w:p>
    <w:p w:rsidR="00121335" w:rsidRPr="002E183C" w:rsidRDefault="00121335" w:rsidP="002E183C">
      <w:pPr>
        <w:pStyle w:val="Default"/>
        <w:rPr>
          <w:rFonts w:ascii="Arial" w:eastAsia="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 xml:space="preserve">The costs for the Estate &amp; Leisure Suite are shared by all dwelling holders. </w:t>
      </w:r>
    </w:p>
    <w:p w:rsidR="00121335" w:rsidRPr="002E183C" w:rsidRDefault="00121335" w:rsidP="002E183C">
      <w:pPr>
        <w:pStyle w:val="Default"/>
        <w:rPr>
          <w:rFonts w:ascii="Arial" w:eastAsia="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The Budget, which is published on the NEMC website indicates how much spending is </w:t>
      </w:r>
      <w:r w:rsidRPr="002E183C">
        <w:rPr>
          <w:rFonts w:ascii="Arial" w:hAnsi="Arial" w:cs="Arial"/>
          <w:bCs/>
          <w:color w:val="auto"/>
          <w:sz w:val="24"/>
          <w:szCs w:val="24"/>
        </w:rPr>
        <w:t>anticipated</w:t>
      </w:r>
      <w:r w:rsidRPr="002E183C">
        <w:rPr>
          <w:rFonts w:ascii="Arial" w:hAnsi="Arial" w:cs="Arial"/>
          <w:color w:val="auto"/>
          <w:sz w:val="24"/>
          <w:szCs w:val="24"/>
        </w:rPr>
        <w:t xml:space="preserve"> in each area. </w:t>
      </w:r>
    </w:p>
    <w:p w:rsidR="009D20EE" w:rsidRPr="002E183C" w:rsidRDefault="009D20EE" w:rsidP="002E183C">
      <w:pPr>
        <w:pStyle w:val="Default"/>
        <w:rPr>
          <w:rFonts w:ascii="Arial" w:eastAsia="Arial" w:hAnsi="Arial" w:cs="Arial"/>
          <w:color w:val="auto"/>
          <w:sz w:val="24"/>
          <w:szCs w:val="24"/>
        </w:rPr>
      </w:pPr>
    </w:p>
    <w:p w:rsidR="00121335" w:rsidRPr="002E183C" w:rsidRDefault="00AD2A1B" w:rsidP="002E183C">
      <w:pPr>
        <w:pStyle w:val="Default"/>
        <w:rPr>
          <w:rFonts w:ascii="Arial" w:hAnsi="Arial" w:cs="Arial"/>
          <w:b/>
          <w:bCs/>
          <w:color w:val="auto"/>
          <w:sz w:val="24"/>
          <w:szCs w:val="24"/>
        </w:rPr>
      </w:pPr>
      <w:r w:rsidRPr="002E183C">
        <w:rPr>
          <w:rFonts w:ascii="Arial" w:hAnsi="Arial" w:cs="Arial"/>
          <w:b/>
          <w:bCs/>
          <w:color w:val="auto"/>
          <w:sz w:val="24"/>
          <w:szCs w:val="24"/>
        </w:rPr>
        <w:t xml:space="preserve">Reserves </w:t>
      </w:r>
    </w:p>
    <w:p w:rsidR="005743CF" w:rsidRPr="002E183C" w:rsidRDefault="005743CF" w:rsidP="002E183C">
      <w:pPr>
        <w:pStyle w:val="Default"/>
        <w:rPr>
          <w:rFonts w:ascii="Arial" w:hAnsi="Arial" w:cs="Arial"/>
          <w:color w:val="auto"/>
          <w:sz w:val="24"/>
          <w:szCs w:val="24"/>
        </w:rPr>
      </w:pPr>
    </w:p>
    <w:p w:rsidR="009D20EE" w:rsidRPr="002E183C" w:rsidRDefault="009D20EE" w:rsidP="002E183C">
      <w:pPr>
        <w:pStyle w:val="Default"/>
        <w:rPr>
          <w:rFonts w:ascii="Arial" w:hAnsi="Arial" w:cs="Arial"/>
          <w:color w:val="auto"/>
          <w:sz w:val="24"/>
          <w:szCs w:val="24"/>
        </w:rPr>
      </w:pPr>
      <w:r w:rsidRPr="002E183C">
        <w:rPr>
          <w:rFonts w:ascii="Arial" w:hAnsi="Arial" w:cs="Arial"/>
          <w:color w:val="auto"/>
          <w:sz w:val="24"/>
          <w:szCs w:val="24"/>
        </w:rPr>
        <w:t>The Reserves page shows the current anticipated reserves</w:t>
      </w:r>
      <w:r w:rsidR="005743CF" w:rsidRPr="002E183C">
        <w:rPr>
          <w:rFonts w:ascii="Arial" w:hAnsi="Arial" w:cs="Arial"/>
          <w:color w:val="auto"/>
          <w:sz w:val="24"/>
          <w:szCs w:val="24"/>
        </w:rPr>
        <w:t>,</w:t>
      </w:r>
      <w:r w:rsidRPr="002E183C">
        <w:rPr>
          <w:rFonts w:ascii="Arial" w:hAnsi="Arial" w:cs="Arial"/>
          <w:color w:val="auto"/>
          <w:sz w:val="24"/>
          <w:szCs w:val="24"/>
        </w:rPr>
        <w:t xml:space="preserve"> however these may be adjusted when the final year end accounts are produced.</w:t>
      </w:r>
    </w:p>
    <w:p w:rsidR="009D20EE" w:rsidRPr="002E183C" w:rsidRDefault="009D20EE" w:rsidP="002E183C">
      <w:pPr>
        <w:pStyle w:val="Default"/>
        <w:rPr>
          <w:rFonts w:ascii="Arial" w:eastAsia="Arial" w:hAnsi="Arial" w:cs="Arial"/>
          <w:color w:val="auto"/>
          <w:sz w:val="24"/>
          <w:szCs w:val="24"/>
        </w:rPr>
      </w:pPr>
    </w:p>
    <w:p w:rsidR="009D20EE" w:rsidRPr="002E183C" w:rsidRDefault="009D20EE" w:rsidP="002E183C">
      <w:pPr>
        <w:pStyle w:val="Default"/>
        <w:rPr>
          <w:rFonts w:ascii="Arial" w:eastAsia="Arial" w:hAnsi="Arial" w:cs="Arial"/>
          <w:color w:val="auto"/>
          <w:sz w:val="24"/>
          <w:szCs w:val="24"/>
        </w:rPr>
      </w:pPr>
      <w:r w:rsidRPr="002E183C">
        <w:rPr>
          <w:rFonts w:ascii="Arial" w:hAnsi="Arial" w:cs="Arial"/>
          <w:color w:val="auto"/>
          <w:sz w:val="24"/>
          <w:szCs w:val="24"/>
        </w:rPr>
        <w:t xml:space="preserve">It also shows the contributions made in previous years (Original Budget) and the revised contributions (Revised Contrib.). The revisions are intended to begin ironing out the discrepancies between the Block Reserves, which will be easier to do given the recent site survey (see below). </w:t>
      </w:r>
    </w:p>
    <w:p w:rsidR="009D20EE" w:rsidRPr="002E183C" w:rsidRDefault="009D20EE" w:rsidP="002E183C">
      <w:pPr>
        <w:pStyle w:val="Default"/>
        <w:rPr>
          <w:rFonts w:ascii="Arial" w:eastAsia="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In addition</w:t>
      </w:r>
      <w:r w:rsidR="009D20EE" w:rsidRPr="002E183C">
        <w:rPr>
          <w:rFonts w:ascii="Arial" w:hAnsi="Arial" w:cs="Arial"/>
          <w:color w:val="auto"/>
          <w:sz w:val="24"/>
          <w:szCs w:val="24"/>
        </w:rPr>
        <w:t xml:space="preserve"> to the budgeted costs</w:t>
      </w:r>
      <w:r w:rsidRPr="002E183C">
        <w:rPr>
          <w:rFonts w:ascii="Arial" w:hAnsi="Arial" w:cs="Arial"/>
          <w:color w:val="auto"/>
          <w:sz w:val="24"/>
          <w:szCs w:val="24"/>
        </w:rPr>
        <w:t>, a contribution is made to Reserves for the Estate, Leisure Suite and Apartment Blocks. Reserves are used to cover the cost of unexpected repairs and one-off expenditure, such as an improvement, which have not been budgeted for</w:t>
      </w:r>
      <w:r w:rsidR="00EB3476" w:rsidRPr="002E183C">
        <w:rPr>
          <w:rFonts w:ascii="Arial" w:hAnsi="Arial" w:cs="Arial"/>
          <w:color w:val="auto"/>
          <w:sz w:val="24"/>
          <w:szCs w:val="24"/>
        </w:rPr>
        <w:t xml:space="preserve"> but has since been approved by the Board</w:t>
      </w:r>
      <w:r w:rsidRPr="002E183C">
        <w:rPr>
          <w:rFonts w:ascii="Arial" w:hAnsi="Arial" w:cs="Arial"/>
          <w:color w:val="auto"/>
          <w:sz w:val="24"/>
          <w:szCs w:val="24"/>
        </w:rPr>
        <w:t>.</w:t>
      </w:r>
      <w:r w:rsidR="005743CF" w:rsidRPr="002E183C">
        <w:rPr>
          <w:rFonts w:ascii="Arial" w:hAnsi="Arial" w:cs="Arial"/>
          <w:color w:val="auto"/>
          <w:sz w:val="24"/>
          <w:szCs w:val="24"/>
        </w:rPr>
        <w:t xml:space="preserve"> </w:t>
      </w:r>
      <w:r w:rsidRPr="002E183C">
        <w:rPr>
          <w:rFonts w:ascii="Arial" w:hAnsi="Arial" w:cs="Arial"/>
          <w:color w:val="auto"/>
          <w:sz w:val="24"/>
          <w:szCs w:val="24"/>
        </w:rPr>
        <w:t xml:space="preserve">To enable the Board to better plan for short, medium and long-term expenditure, a Planned &amp; Preventative Maintenance Site Survey was carried out in 2019. </w:t>
      </w:r>
    </w:p>
    <w:p w:rsidR="00C80485" w:rsidRPr="002E183C" w:rsidRDefault="00C80485" w:rsidP="002E183C">
      <w:pPr>
        <w:pStyle w:val="Default"/>
        <w:rPr>
          <w:rFonts w:ascii="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lastRenderedPageBreak/>
        <w:t>This gives a clearer idea of how large reserves need to be to cover, not only the short-term unexpected costs, but also medium and long-term costs such as replanting the gardens, and replacing roofs, and road surfaces. This will inform budget contribution to Reserves for the next 5, 10</w:t>
      </w:r>
      <w:r w:rsidR="005743CF" w:rsidRPr="002E183C">
        <w:rPr>
          <w:rFonts w:ascii="Arial" w:hAnsi="Arial" w:cs="Arial"/>
          <w:color w:val="auto"/>
          <w:sz w:val="24"/>
          <w:szCs w:val="24"/>
        </w:rPr>
        <w:t xml:space="preserve"> +</w:t>
      </w:r>
      <w:r w:rsidRPr="002E183C">
        <w:rPr>
          <w:rFonts w:ascii="Arial" w:hAnsi="Arial" w:cs="Arial"/>
          <w:color w:val="auto"/>
          <w:sz w:val="24"/>
          <w:szCs w:val="24"/>
        </w:rPr>
        <w:t xml:space="preserve"> years and beyond and when funds are likely to be required.</w:t>
      </w:r>
    </w:p>
    <w:p w:rsidR="00121335" w:rsidRPr="002E183C" w:rsidRDefault="00121335" w:rsidP="002E183C">
      <w:pPr>
        <w:pStyle w:val="Default"/>
        <w:rPr>
          <w:rFonts w:ascii="Arial" w:eastAsia="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b/>
          <w:bCs/>
          <w:color w:val="auto"/>
          <w:sz w:val="24"/>
          <w:szCs w:val="24"/>
        </w:rPr>
        <w:t xml:space="preserve">Service Charge Calculations </w:t>
      </w:r>
    </w:p>
    <w:p w:rsidR="005743CF" w:rsidRPr="002E183C" w:rsidRDefault="005743CF" w:rsidP="002E183C">
      <w:pPr>
        <w:pStyle w:val="Default"/>
        <w:rPr>
          <w:rFonts w:ascii="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The Budget is used to determine the Service Charges required of each dwelling and comprises of 3 factors: </w:t>
      </w:r>
    </w:p>
    <w:p w:rsidR="00C80485" w:rsidRPr="002E183C" w:rsidRDefault="00C80485" w:rsidP="002E183C">
      <w:pPr>
        <w:pStyle w:val="Default"/>
        <w:rPr>
          <w:rFonts w:ascii="Arial" w:eastAsia="Arial" w:hAnsi="Arial" w:cs="Arial"/>
          <w:color w:val="auto"/>
          <w:sz w:val="24"/>
          <w:szCs w:val="24"/>
        </w:rPr>
      </w:pPr>
    </w:p>
    <w:p w:rsidR="00121335" w:rsidRPr="002E183C" w:rsidRDefault="005743CF" w:rsidP="002E183C">
      <w:pPr>
        <w:pStyle w:val="Default"/>
        <w:rPr>
          <w:rFonts w:ascii="Arial" w:eastAsia="Arial" w:hAnsi="Arial" w:cs="Arial"/>
          <w:b/>
          <w:color w:val="auto"/>
          <w:sz w:val="24"/>
          <w:szCs w:val="24"/>
          <w:u w:val="single"/>
        </w:rPr>
      </w:pPr>
      <w:r w:rsidRPr="002E183C">
        <w:rPr>
          <w:rFonts w:ascii="Arial" w:hAnsi="Arial" w:cs="Arial"/>
          <w:b/>
          <w:iCs/>
          <w:color w:val="auto"/>
          <w:sz w:val="24"/>
          <w:szCs w:val="24"/>
          <w:u w:val="single"/>
        </w:rPr>
        <w:t xml:space="preserve">1 - </w:t>
      </w:r>
      <w:r w:rsidR="00AD2A1B" w:rsidRPr="002E183C">
        <w:rPr>
          <w:rFonts w:ascii="Arial" w:hAnsi="Arial" w:cs="Arial"/>
          <w:b/>
          <w:iCs/>
          <w:color w:val="auto"/>
          <w:sz w:val="24"/>
          <w:szCs w:val="24"/>
          <w:u w:val="single"/>
        </w:rPr>
        <w:t xml:space="preserve">Estate Charge </w:t>
      </w:r>
    </w:p>
    <w:p w:rsidR="005743CF" w:rsidRPr="002E183C" w:rsidRDefault="005743CF" w:rsidP="002E183C">
      <w:pPr>
        <w:pStyle w:val="Default"/>
        <w:rPr>
          <w:rFonts w:ascii="Arial" w:hAnsi="Arial" w:cs="Arial"/>
          <w:color w:val="auto"/>
          <w:sz w:val="24"/>
          <w:szCs w:val="24"/>
          <w:lang w:val="fr-FR"/>
        </w:rPr>
      </w:pPr>
    </w:p>
    <w:p w:rsidR="005743CF"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lang w:val="fr-FR"/>
        </w:rPr>
        <w:t xml:space="preserve">Each dwelling pays a </w:t>
      </w:r>
      <w:r w:rsidRPr="002E183C">
        <w:rPr>
          <w:rFonts w:ascii="Arial" w:hAnsi="Arial" w:cs="Arial"/>
          <w:color w:val="auto"/>
          <w:sz w:val="24"/>
          <w:szCs w:val="24"/>
        </w:rPr>
        <w:t>‘Room Charge</w:t>
      </w:r>
      <w:r w:rsidRPr="002E183C">
        <w:rPr>
          <w:rFonts w:ascii="Arial" w:hAnsi="Arial" w:cs="Arial"/>
          <w:color w:val="auto"/>
          <w:sz w:val="24"/>
          <w:szCs w:val="24"/>
          <w:lang w:val="fr-FR"/>
        </w:rPr>
        <w:t xml:space="preserve">’ </w:t>
      </w:r>
      <w:r w:rsidRPr="002E183C">
        <w:rPr>
          <w:rFonts w:ascii="Arial" w:hAnsi="Arial" w:cs="Arial"/>
          <w:color w:val="auto"/>
          <w:sz w:val="24"/>
          <w:szCs w:val="24"/>
        </w:rPr>
        <w:t>(£</w:t>
      </w:r>
      <w:r w:rsidR="000D18A3" w:rsidRPr="002E183C">
        <w:rPr>
          <w:rFonts w:ascii="Arial" w:hAnsi="Arial" w:cs="Arial"/>
          <w:color w:val="auto"/>
          <w:sz w:val="24"/>
          <w:szCs w:val="24"/>
        </w:rPr>
        <w:t>327.76</w:t>
      </w:r>
      <w:r w:rsidRPr="002E183C">
        <w:rPr>
          <w:rFonts w:ascii="Arial" w:hAnsi="Arial" w:cs="Arial"/>
          <w:color w:val="auto"/>
          <w:sz w:val="24"/>
          <w:szCs w:val="24"/>
        </w:rPr>
        <w:t xml:space="preserve"> in the current year) multiplied by the number of Habitable Rooms for that Dwelling. </w:t>
      </w:r>
    </w:p>
    <w:p w:rsidR="005743CF" w:rsidRPr="002E183C" w:rsidRDefault="005743CF" w:rsidP="002E183C">
      <w:pPr>
        <w:pStyle w:val="Default"/>
        <w:rPr>
          <w:rFonts w:ascii="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The room charge</w:t>
      </w:r>
      <w:r w:rsidR="00A44E29">
        <w:rPr>
          <w:rFonts w:ascii="Arial" w:hAnsi="Arial" w:cs="Arial"/>
          <w:color w:val="auto"/>
          <w:sz w:val="24"/>
          <w:szCs w:val="24"/>
        </w:rPr>
        <w:t xml:space="preserve"> is</w:t>
      </w:r>
      <w:r w:rsidRPr="002E183C">
        <w:rPr>
          <w:rFonts w:ascii="Arial" w:hAnsi="Arial" w:cs="Arial"/>
          <w:color w:val="auto"/>
          <w:sz w:val="24"/>
          <w:szCs w:val="24"/>
        </w:rPr>
        <w:t xml:space="preserve"> the total budget for the Communal Management &amp; Administration and the Leisure Suite divided between the total number of Habitable Rooms on the estate (635). </w:t>
      </w:r>
    </w:p>
    <w:p w:rsidR="005743CF" w:rsidRPr="002E183C" w:rsidRDefault="005743CF" w:rsidP="002E183C">
      <w:pPr>
        <w:pStyle w:val="Default"/>
        <w:rPr>
          <w:rFonts w:ascii="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Habitable Rooms are those other than kitchens, bathrooms, toilets, utility rooms, etc. i.e. bedrooms, living and dining rooms. For the calculation of service charges, the </w:t>
      </w:r>
      <w:r w:rsidRPr="002E183C">
        <w:rPr>
          <w:rFonts w:ascii="Arial" w:hAnsi="Arial" w:cs="Arial"/>
          <w:b/>
          <w:color w:val="auto"/>
          <w:sz w:val="24"/>
          <w:szCs w:val="24"/>
        </w:rPr>
        <w:t>maximum</w:t>
      </w:r>
      <w:r w:rsidRPr="002E183C">
        <w:rPr>
          <w:rFonts w:ascii="Arial" w:hAnsi="Arial" w:cs="Arial"/>
          <w:color w:val="auto"/>
          <w:sz w:val="24"/>
          <w:szCs w:val="24"/>
        </w:rPr>
        <w:t xml:space="preserve"> number of Habitable Rooms for any given property is </w:t>
      </w:r>
      <w:r w:rsidRPr="002E183C">
        <w:rPr>
          <w:rFonts w:ascii="Arial" w:hAnsi="Arial" w:cs="Arial"/>
          <w:b/>
          <w:color w:val="auto"/>
          <w:sz w:val="24"/>
          <w:szCs w:val="24"/>
        </w:rPr>
        <w:t>4</w:t>
      </w:r>
      <w:r w:rsidRPr="002E183C">
        <w:rPr>
          <w:rFonts w:ascii="Arial" w:hAnsi="Arial" w:cs="Arial"/>
          <w:color w:val="auto"/>
          <w:sz w:val="24"/>
          <w:szCs w:val="24"/>
        </w:rPr>
        <w:t xml:space="preserve">. </w:t>
      </w:r>
    </w:p>
    <w:p w:rsidR="00C80485" w:rsidRPr="002E183C" w:rsidRDefault="00C80485" w:rsidP="002E183C">
      <w:pPr>
        <w:pStyle w:val="Default"/>
        <w:rPr>
          <w:rFonts w:ascii="Arial" w:eastAsia="Arial" w:hAnsi="Arial" w:cs="Arial"/>
          <w:color w:val="auto"/>
          <w:sz w:val="24"/>
          <w:szCs w:val="24"/>
        </w:rPr>
      </w:pPr>
    </w:p>
    <w:p w:rsidR="00121335" w:rsidRPr="002E183C" w:rsidRDefault="00A3458C" w:rsidP="002E183C">
      <w:pPr>
        <w:pStyle w:val="Default"/>
        <w:rPr>
          <w:rFonts w:ascii="Arial" w:hAnsi="Arial" w:cs="Arial"/>
          <w:b/>
          <w:iCs/>
          <w:color w:val="auto"/>
          <w:sz w:val="24"/>
          <w:szCs w:val="24"/>
          <w:u w:val="single"/>
          <w:lang w:val="fr-FR"/>
        </w:rPr>
      </w:pPr>
      <w:r w:rsidRPr="002E183C">
        <w:rPr>
          <w:rFonts w:ascii="Arial" w:hAnsi="Arial" w:cs="Arial"/>
          <w:b/>
          <w:iCs/>
          <w:color w:val="auto"/>
          <w:sz w:val="24"/>
          <w:szCs w:val="24"/>
          <w:u w:val="single"/>
          <w:lang w:val="fr-FR"/>
        </w:rPr>
        <w:t xml:space="preserve">2 - </w:t>
      </w:r>
      <w:r w:rsidR="00AD2A1B" w:rsidRPr="002E183C">
        <w:rPr>
          <w:rFonts w:ascii="Arial" w:hAnsi="Arial" w:cs="Arial"/>
          <w:b/>
          <w:iCs/>
          <w:color w:val="auto"/>
          <w:sz w:val="24"/>
          <w:szCs w:val="24"/>
          <w:u w:val="single"/>
          <w:lang w:val="fr-FR"/>
        </w:rPr>
        <w:t xml:space="preserve">Insurance </w:t>
      </w:r>
    </w:p>
    <w:p w:rsidR="00A3458C" w:rsidRPr="002E183C" w:rsidRDefault="00A3458C" w:rsidP="002E183C">
      <w:pPr>
        <w:pStyle w:val="Default"/>
        <w:rPr>
          <w:rFonts w:ascii="Arial" w:eastAsia="Arial" w:hAnsi="Arial" w:cs="Arial"/>
          <w:b/>
          <w:color w:val="auto"/>
          <w:sz w:val="24"/>
          <w:szCs w:val="24"/>
          <w:u w:val="single"/>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 xml:space="preserve">The Insurance charge for each dwelling is based on the number of square feet per Dwelling. </w:t>
      </w: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The charge per square foot (£</w:t>
      </w:r>
      <w:r w:rsidR="000D18A3" w:rsidRPr="002E183C">
        <w:rPr>
          <w:rFonts w:ascii="Arial" w:hAnsi="Arial" w:cs="Arial"/>
          <w:color w:val="auto"/>
          <w:sz w:val="24"/>
          <w:szCs w:val="24"/>
        </w:rPr>
        <w:t>0.1</w:t>
      </w:r>
      <w:r w:rsidR="00A3458C" w:rsidRPr="002E183C">
        <w:rPr>
          <w:rFonts w:ascii="Arial" w:hAnsi="Arial" w:cs="Arial"/>
          <w:color w:val="auto"/>
          <w:sz w:val="24"/>
          <w:szCs w:val="24"/>
        </w:rPr>
        <w:t xml:space="preserve">7 </w:t>
      </w:r>
      <w:r w:rsidRPr="002E183C">
        <w:rPr>
          <w:rFonts w:ascii="Arial" w:hAnsi="Arial" w:cs="Arial"/>
          <w:color w:val="auto"/>
          <w:sz w:val="24"/>
          <w:szCs w:val="24"/>
        </w:rPr>
        <w:t xml:space="preserve">approx.) is calculated by dividing the total insurance budget by the total number of square feet on the estate (238,490). </w:t>
      </w:r>
    </w:p>
    <w:p w:rsidR="00C80485" w:rsidRPr="002E183C" w:rsidRDefault="00C80485" w:rsidP="002E183C">
      <w:pPr>
        <w:pStyle w:val="Default"/>
        <w:rPr>
          <w:rFonts w:ascii="Arial" w:eastAsia="Arial" w:hAnsi="Arial" w:cs="Arial"/>
          <w:color w:val="auto"/>
          <w:sz w:val="24"/>
          <w:szCs w:val="24"/>
        </w:rPr>
      </w:pPr>
    </w:p>
    <w:p w:rsidR="00121335" w:rsidRPr="002E183C" w:rsidRDefault="00A3458C" w:rsidP="002E183C">
      <w:pPr>
        <w:pStyle w:val="Default"/>
        <w:rPr>
          <w:rFonts w:ascii="Arial" w:eastAsia="Arial" w:hAnsi="Arial" w:cs="Arial"/>
          <w:b/>
          <w:color w:val="auto"/>
          <w:sz w:val="24"/>
          <w:szCs w:val="24"/>
          <w:u w:val="single"/>
        </w:rPr>
      </w:pPr>
      <w:r w:rsidRPr="002E183C">
        <w:rPr>
          <w:rFonts w:ascii="Arial" w:hAnsi="Arial" w:cs="Arial"/>
          <w:b/>
          <w:iCs/>
          <w:color w:val="auto"/>
          <w:sz w:val="24"/>
          <w:szCs w:val="24"/>
          <w:u w:val="single"/>
        </w:rPr>
        <w:t xml:space="preserve">3 - </w:t>
      </w:r>
      <w:r w:rsidR="00AD2A1B" w:rsidRPr="002E183C">
        <w:rPr>
          <w:rFonts w:ascii="Arial" w:hAnsi="Arial" w:cs="Arial"/>
          <w:b/>
          <w:iCs/>
          <w:color w:val="auto"/>
          <w:sz w:val="24"/>
          <w:szCs w:val="24"/>
          <w:u w:val="single"/>
        </w:rPr>
        <w:t xml:space="preserve">Block Charge </w:t>
      </w:r>
    </w:p>
    <w:p w:rsidR="00A3458C" w:rsidRPr="002E183C" w:rsidRDefault="00A3458C" w:rsidP="002E183C">
      <w:pPr>
        <w:pStyle w:val="Default"/>
        <w:rPr>
          <w:rFonts w:ascii="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The Block Charge is the budget for each Block equally divided between the number of dwellings in that block. The exceptions are Alexandra and Sheaf 3. Because some of the dwellings in these blocks have communal space and others don</w:t>
      </w:r>
      <w:r w:rsidRPr="002E183C">
        <w:rPr>
          <w:rFonts w:ascii="Arial" w:hAnsi="Arial" w:cs="Arial"/>
          <w:color w:val="auto"/>
          <w:sz w:val="24"/>
          <w:szCs w:val="24"/>
          <w:lang w:val="fr-FR"/>
        </w:rPr>
        <w:t>’</w:t>
      </w:r>
      <w:r w:rsidRPr="002E183C">
        <w:rPr>
          <w:rFonts w:ascii="Arial" w:hAnsi="Arial" w:cs="Arial"/>
          <w:color w:val="auto"/>
          <w:sz w:val="24"/>
          <w:szCs w:val="24"/>
        </w:rPr>
        <w:t xml:space="preserve">t, there is one budget only for the former, and a second budget for all dwellings, which covers things such as the roof. </w:t>
      </w:r>
    </w:p>
    <w:p w:rsidR="00C80485" w:rsidRPr="002E183C" w:rsidRDefault="00C80485" w:rsidP="002E183C">
      <w:pPr>
        <w:pStyle w:val="Default"/>
        <w:rPr>
          <w:rFonts w:ascii="Arial" w:eastAsia="Arial" w:hAnsi="Arial" w:cs="Arial"/>
          <w:color w:val="auto"/>
          <w:sz w:val="24"/>
          <w:szCs w:val="24"/>
        </w:rPr>
      </w:pPr>
    </w:p>
    <w:p w:rsidR="00A3458C" w:rsidRPr="002E183C" w:rsidRDefault="00A3458C" w:rsidP="002E183C">
      <w:pPr>
        <w:pStyle w:val="Default"/>
        <w:rPr>
          <w:rFonts w:ascii="Arial" w:hAnsi="Arial" w:cs="Arial"/>
          <w:b/>
          <w:bCs/>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b/>
          <w:bCs/>
          <w:color w:val="auto"/>
          <w:sz w:val="24"/>
          <w:szCs w:val="24"/>
        </w:rPr>
        <w:lastRenderedPageBreak/>
        <w:t xml:space="preserve">Adjustment to Service Charges </w:t>
      </w:r>
      <w:r w:rsidR="00B77267" w:rsidRPr="002E183C">
        <w:rPr>
          <w:rFonts w:ascii="Arial" w:hAnsi="Arial" w:cs="Arial"/>
          <w:b/>
          <w:bCs/>
          <w:color w:val="auto"/>
          <w:sz w:val="24"/>
          <w:szCs w:val="24"/>
        </w:rPr>
        <w:t>2020</w:t>
      </w:r>
    </w:p>
    <w:p w:rsidR="00A3458C" w:rsidRPr="002E183C" w:rsidRDefault="00A3458C" w:rsidP="002E183C">
      <w:pPr>
        <w:pStyle w:val="Default"/>
        <w:rPr>
          <w:rFonts w:ascii="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In recent years, Service Charges have not increased in line with inflation</w:t>
      </w:r>
      <w:r w:rsidR="00B77267" w:rsidRPr="002E183C">
        <w:rPr>
          <w:rFonts w:ascii="Arial" w:hAnsi="Arial" w:cs="Arial"/>
          <w:color w:val="auto"/>
          <w:sz w:val="24"/>
          <w:szCs w:val="24"/>
        </w:rPr>
        <w:t xml:space="preserve"> nor the anticipated costs of running the estate</w:t>
      </w:r>
      <w:r w:rsidRPr="002E183C">
        <w:rPr>
          <w:rFonts w:ascii="Arial" w:hAnsi="Arial" w:cs="Arial"/>
          <w:color w:val="auto"/>
          <w:sz w:val="24"/>
          <w:szCs w:val="24"/>
        </w:rPr>
        <w:t>, for example the Budget for 2018 was 8.64% greater than that for 2017, yet Service Charges were only increased by 1%. Because of this, although the 2019 budget was only slightly larger than the 2018 budget, the increase over what was actually charged in 2018 was 9.45%.</w:t>
      </w:r>
    </w:p>
    <w:p w:rsidR="00B77267" w:rsidRPr="002E183C" w:rsidRDefault="00B77267" w:rsidP="002E183C">
      <w:pPr>
        <w:pStyle w:val="Default"/>
        <w:rPr>
          <w:rFonts w:ascii="Arial" w:hAnsi="Arial" w:cs="Arial"/>
          <w:color w:val="auto"/>
          <w:sz w:val="24"/>
          <w:szCs w:val="24"/>
        </w:rPr>
      </w:pPr>
    </w:p>
    <w:p w:rsidR="00121335" w:rsidRPr="002E183C" w:rsidRDefault="00A3458C" w:rsidP="002E183C">
      <w:pPr>
        <w:pStyle w:val="Default"/>
        <w:rPr>
          <w:rFonts w:ascii="Arial" w:hAnsi="Arial" w:cs="Arial"/>
          <w:color w:val="auto"/>
          <w:sz w:val="24"/>
          <w:szCs w:val="24"/>
        </w:rPr>
      </w:pPr>
      <w:r w:rsidRPr="002E183C">
        <w:rPr>
          <w:rFonts w:ascii="Arial" w:hAnsi="Arial" w:cs="Arial"/>
          <w:color w:val="auto"/>
          <w:sz w:val="24"/>
          <w:szCs w:val="24"/>
        </w:rPr>
        <w:t>T</w:t>
      </w:r>
      <w:r w:rsidR="00AD2A1B" w:rsidRPr="002E183C">
        <w:rPr>
          <w:rFonts w:ascii="Arial" w:hAnsi="Arial" w:cs="Arial"/>
          <w:color w:val="auto"/>
          <w:sz w:val="24"/>
          <w:szCs w:val="24"/>
        </w:rPr>
        <w:t>his was felt to be an unacceptable increase,</w:t>
      </w:r>
      <w:r w:rsidRPr="002E183C">
        <w:rPr>
          <w:rFonts w:ascii="Arial" w:hAnsi="Arial" w:cs="Arial"/>
          <w:color w:val="auto"/>
          <w:sz w:val="24"/>
          <w:szCs w:val="24"/>
        </w:rPr>
        <w:t xml:space="preserve"> therefore</w:t>
      </w:r>
      <w:r w:rsidR="00AD2A1B" w:rsidRPr="002E183C">
        <w:rPr>
          <w:rFonts w:ascii="Arial" w:hAnsi="Arial" w:cs="Arial"/>
          <w:color w:val="auto"/>
          <w:sz w:val="24"/>
          <w:szCs w:val="24"/>
        </w:rPr>
        <w:t xml:space="preserve"> the Board decided to </w:t>
      </w:r>
      <w:r w:rsidR="00AD2A1B" w:rsidRPr="002E183C">
        <w:rPr>
          <w:rFonts w:ascii="Arial" w:hAnsi="Arial" w:cs="Arial"/>
          <w:b/>
          <w:color w:val="auto"/>
          <w:sz w:val="24"/>
          <w:szCs w:val="24"/>
        </w:rPr>
        <w:t>spread it over 2 or more years</w:t>
      </w:r>
      <w:r w:rsidR="00AD2A1B" w:rsidRPr="002E183C">
        <w:rPr>
          <w:rFonts w:ascii="Arial" w:hAnsi="Arial" w:cs="Arial"/>
          <w:color w:val="auto"/>
          <w:sz w:val="24"/>
          <w:szCs w:val="24"/>
        </w:rPr>
        <w:t xml:space="preserve">, depending on actual spending in 2019. </w:t>
      </w:r>
    </w:p>
    <w:p w:rsidR="00A3458C" w:rsidRPr="002E183C" w:rsidRDefault="00A3458C" w:rsidP="002E183C">
      <w:pPr>
        <w:pStyle w:val="Default"/>
        <w:rPr>
          <w:rFonts w:ascii="Arial" w:eastAsia="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To accomplish this fairly, while ensuring that the Service Charges still related to the actual Budgets, the Room Charge for 2019 was reduced by 5.5% to £308.33, resulting in an overall </w:t>
      </w:r>
      <w:r w:rsidRPr="002E183C">
        <w:rPr>
          <w:rFonts w:ascii="Arial" w:hAnsi="Arial" w:cs="Arial"/>
          <w:b/>
          <w:color w:val="auto"/>
          <w:sz w:val="24"/>
          <w:szCs w:val="24"/>
        </w:rPr>
        <w:t>average</w:t>
      </w:r>
      <w:r w:rsidRPr="002E183C">
        <w:rPr>
          <w:rFonts w:ascii="Arial" w:hAnsi="Arial" w:cs="Arial"/>
          <w:color w:val="auto"/>
          <w:sz w:val="24"/>
          <w:szCs w:val="24"/>
        </w:rPr>
        <w:t xml:space="preserve"> Service Charge increase of 5.44%. </w:t>
      </w:r>
    </w:p>
    <w:p w:rsidR="00A3458C" w:rsidRPr="002E183C" w:rsidRDefault="00A3458C" w:rsidP="002E183C">
      <w:pPr>
        <w:pStyle w:val="Default"/>
        <w:rPr>
          <w:rFonts w:ascii="Arial" w:eastAsia="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The 2020 </w:t>
      </w:r>
      <w:r w:rsidR="000D18A3" w:rsidRPr="002E183C">
        <w:rPr>
          <w:rFonts w:ascii="Arial" w:hAnsi="Arial" w:cs="Arial"/>
          <w:color w:val="auto"/>
          <w:sz w:val="24"/>
          <w:szCs w:val="24"/>
        </w:rPr>
        <w:t xml:space="preserve">Total </w:t>
      </w:r>
      <w:r w:rsidRPr="002E183C">
        <w:rPr>
          <w:rFonts w:ascii="Arial" w:hAnsi="Arial" w:cs="Arial"/>
          <w:color w:val="auto"/>
          <w:sz w:val="24"/>
          <w:szCs w:val="24"/>
        </w:rPr>
        <w:t>Budget</w:t>
      </w:r>
      <w:r w:rsidR="000D18A3" w:rsidRPr="002E183C">
        <w:rPr>
          <w:rFonts w:ascii="Arial" w:hAnsi="Arial" w:cs="Arial"/>
          <w:color w:val="auto"/>
          <w:sz w:val="24"/>
          <w:szCs w:val="24"/>
        </w:rPr>
        <w:t xml:space="preserve"> across the whole site </w:t>
      </w:r>
      <w:r w:rsidRPr="002E183C">
        <w:rPr>
          <w:rFonts w:ascii="Arial" w:hAnsi="Arial" w:cs="Arial"/>
          <w:color w:val="auto"/>
          <w:sz w:val="24"/>
          <w:szCs w:val="24"/>
        </w:rPr>
        <w:t xml:space="preserve">is </w:t>
      </w:r>
      <w:r w:rsidR="000D18A3" w:rsidRPr="002E183C">
        <w:rPr>
          <w:rFonts w:ascii="Arial" w:hAnsi="Arial" w:cs="Arial"/>
          <w:color w:val="auto"/>
          <w:sz w:val="24"/>
          <w:szCs w:val="24"/>
        </w:rPr>
        <w:t>£9547</w:t>
      </w:r>
      <w:r w:rsidRPr="002E183C">
        <w:rPr>
          <w:rFonts w:ascii="Arial" w:hAnsi="Arial" w:cs="Arial"/>
          <w:color w:val="auto"/>
          <w:sz w:val="24"/>
          <w:szCs w:val="24"/>
        </w:rPr>
        <w:t xml:space="preserve"> higher than that of 2019.</w:t>
      </w:r>
    </w:p>
    <w:p w:rsidR="00A3458C" w:rsidRPr="002E183C" w:rsidRDefault="00A3458C" w:rsidP="002E183C">
      <w:pPr>
        <w:pStyle w:val="Default"/>
        <w:rPr>
          <w:rFonts w:ascii="Arial" w:hAnsi="Arial" w:cs="Arial"/>
          <w:color w:val="auto"/>
          <w:sz w:val="24"/>
          <w:szCs w:val="24"/>
        </w:rPr>
      </w:pPr>
    </w:p>
    <w:p w:rsidR="00A3458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To accomplish a fair </w:t>
      </w:r>
      <w:r w:rsidR="00B77267" w:rsidRPr="002E183C">
        <w:rPr>
          <w:rFonts w:ascii="Arial" w:hAnsi="Arial" w:cs="Arial"/>
          <w:color w:val="auto"/>
          <w:sz w:val="24"/>
          <w:szCs w:val="24"/>
        </w:rPr>
        <w:t xml:space="preserve">percentage </w:t>
      </w:r>
      <w:r w:rsidRPr="002E183C">
        <w:rPr>
          <w:rFonts w:ascii="Arial" w:hAnsi="Arial" w:cs="Arial"/>
          <w:color w:val="auto"/>
          <w:sz w:val="24"/>
          <w:szCs w:val="24"/>
        </w:rPr>
        <w:t>increase in Service Charges,</w:t>
      </w:r>
      <w:r w:rsidR="00B77267" w:rsidRPr="002E183C">
        <w:rPr>
          <w:rFonts w:ascii="Arial" w:hAnsi="Arial" w:cs="Arial"/>
          <w:color w:val="auto"/>
          <w:sz w:val="24"/>
          <w:szCs w:val="24"/>
        </w:rPr>
        <w:t xml:space="preserve"> a </w:t>
      </w:r>
      <w:r w:rsidRPr="002E183C">
        <w:rPr>
          <w:rFonts w:ascii="Arial" w:hAnsi="Arial" w:cs="Arial"/>
          <w:color w:val="auto"/>
          <w:sz w:val="24"/>
          <w:szCs w:val="24"/>
        </w:rPr>
        <w:t>closer alignment with the actual budget</w:t>
      </w:r>
      <w:r w:rsidR="00B77267" w:rsidRPr="002E183C">
        <w:rPr>
          <w:rFonts w:ascii="Arial" w:hAnsi="Arial" w:cs="Arial"/>
          <w:color w:val="auto"/>
          <w:sz w:val="24"/>
          <w:szCs w:val="24"/>
        </w:rPr>
        <w:t xml:space="preserve"> is required</w:t>
      </w:r>
      <w:r w:rsidRPr="002E183C">
        <w:rPr>
          <w:rFonts w:ascii="Arial" w:hAnsi="Arial" w:cs="Arial"/>
          <w:color w:val="auto"/>
          <w:sz w:val="24"/>
          <w:szCs w:val="24"/>
        </w:rPr>
        <w:t xml:space="preserve"> </w:t>
      </w:r>
      <w:r w:rsidR="00A44E29">
        <w:rPr>
          <w:rFonts w:ascii="Arial" w:hAnsi="Arial" w:cs="Arial"/>
          <w:color w:val="auto"/>
          <w:sz w:val="24"/>
          <w:szCs w:val="24"/>
        </w:rPr>
        <w:t>to meet the challenges of an aging estate e.g.</w:t>
      </w:r>
      <w:r w:rsidRPr="002E183C">
        <w:rPr>
          <w:rFonts w:ascii="Arial" w:hAnsi="Arial" w:cs="Arial"/>
          <w:color w:val="auto"/>
          <w:sz w:val="24"/>
          <w:szCs w:val="24"/>
        </w:rPr>
        <w:t xml:space="preserve"> major repairs </w:t>
      </w:r>
      <w:r w:rsidR="00A44E29">
        <w:rPr>
          <w:rFonts w:ascii="Arial" w:hAnsi="Arial" w:cs="Arial"/>
          <w:color w:val="auto"/>
          <w:sz w:val="24"/>
          <w:szCs w:val="24"/>
        </w:rPr>
        <w:t xml:space="preserve">and general good maintenance </w:t>
      </w:r>
      <w:r w:rsidRPr="002E183C">
        <w:rPr>
          <w:rFonts w:ascii="Arial" w:hAnsi="Arial" w:cs="Arial"/>
          <w:color w:val="auto"/>
          <w:sz w:val="24"/>
          <w:szCs w:val="24"/>
        </w:rPr>
        <w:t>etc</w:t>
      </w:r>
      <w:r w:rsidR="00A3458C" w:rsidRPr="002E183C">
        <w:rPr>
          <w:rFonts w:ascii="Arial" w:hAnsi="Arial" w:cs="Arial"/>
          <w:color w:val="auto"/>
          <w:sz w:val="24"/>
          <w:szCs w:val="24"/>
        </w:rPr>
        <w:t>.</w:t>
      </w:r>
      <w:r w:rsidRPr="002E183C">
        <w:rPr>
          <w:rFonts w:ascii="Arial" w:hAnsi="Arial" w:cs="Arial"/>
          <w:color w:val="auto"/>
          <w:sz w:val="24"/>
          <w:szCs w:val="24"/>
        </w:rPr>
        <w:t xml:space="preserve"> </w:t>
      </w:r>
    </w:p>
    <w:p w:rsidR="00A44E29" w:rsidRPr="002E183C" w:rsidRDefault="00A44E29" w:rsidP="002E183C">
      <w:pPr>
        <w:pStyle w:val="Default"/>
        <w:rPr>
          <w:rFonts w:ascii="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These have been dealt with in 2018 and 2019 and will continue to be dealt with in 2020, in line with the Recent Site Sur</w:t>
      </w:r>
      <w:r w:rsidR="00A3458C" w:rsidRPr="002E183C">
        <w:rPr>
          <w:rFonts w:ascii="Arial" w:hAnsi="Arial" w:cs="Arial"/>
          <w:color w:val="auto"/>
          <w:sz w:val="24"/>
          <w:szCs w:val="24"/>
        </w:rPr>
        <w:t>vey recommendations.</w:t>
      </w:r>
    </w:p>
    <w:p w:rsidR="00A3458C" w:rsidRPr="002E183C" w:rsidRDefault="00A3458C" w:rsidP="002E183C">
      <w:pPr>
        <w:pStyle w:val="Default"/>
        <w:rPr>
          <w:rFonts w:ascii="Arial" w:eastAsia="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To take account of the 5.5% reduction in 2019 </w:t>
      </w:r>
      <w:r w:rsidR="00B77267" w:rsidRPr="002E183C">
        <w:rPr>
          <w:rFonts w:ascii="Arial" w:hAnsi="Arial" w:cs="Arial"/>
          <w:color w:val="auto"/>
          <w:sz w:val="24"/>
          <w:szCs w:val="24"/>
        </w:rPr>
        <w:t xml:space="preserve">this will be recovered </w:t>
      </w:r>
      <w:r w:rsidR="000D18A3" w:rsidRPr="002E183C">
        <w:rPr>
          <w:rFonts w:ascii="Arial" w:hAnsi="Arial" w:cs="Arial"/>
          <w:color w:val="auto"/>
          <w:sz w:val="24"/>
          <w:szCs w:val="24"/>
        </w:rPr>
        <w:t>in 2020</w:t>
      </w:r>
      <w:r w:rsidR="002E183C" w:rsidRPr="002E183C">
        <w:rPr>
          <w:rFonts w:ascii="Arial" w:hAnsi="Arial" w:cs="Arial"/>
          <w:color w:val="auto"/>
          <w:sz w:val="24"/>
          <w:szCs w:val="24"/>
        </w:rPr>
        <w:t xml:space="preserve"> service charges</w:t>
      </w:r>
      <w:r w:rsidR="00B77267" w:rsidRPr="002E183C">
        <w:rPr>
          <w:rFonts w:ascii="Arial" w:hAnsi="Arial" w:cs="Arial"/>
          <w:color w:val="auto"/>
          <w:sz w:val="24"/>
          <w:szCs w:val="24"/>
        </w:rPr>
        <w:t xml:space="preserve"> </w:t>
      </w:r>
      <w:r w:rsidR="002E183C" w:rsidRPr="002E183C">
        <w:rPr>
          <w:rFonts w:ascii="Arial" w:hAnsi="Arial" w:cs="Arial"/>
          <w:color w:val="auto"/>
          <w:sz w:val="24"/>
          <w:szCs w:val="24"/>
        </w:rPr>
        <w:t>(</w:t>
      </w:r>
      <w:r w:rsidR="000D18A3" w:rsidRPr="002E183C">
        <w:rPr>
          <w:rFonts w:ascii="Arial" w:hAnsi="Arial" w:cs="Arial"/>
          <w:color w:val="auto"/>
          <w:sz w:val="24"/>
          <w:szCs w:val="24"/>
        </w:rPr>
        <w:t>based on the 2019 figures</w:t>
      </w:r>
      <w:r w:rsidR="002E183C" w:rsidRPr="002E183C">
        <w:rPr>
          <w:rFonts w:ascii="Arial" w:hAnsi="Arial" w:cs="Arial"/>
          <w:color w:val="auto"/>
          <w:sz w:val="24"/>
          <w:szCs w:val="24"/>
        </w:rPr>
        <w:t>)</w:t>
      </w:r>
      <w:r w:rsidR="000D18A3" w:rsidRPr="002E183C">
        <w:rPr>
          <w:rFonts w:ascii="Arial" w:hAnsi="Arial" w:cs="Arial"/>
          <w:color w:val="auto"/>
          <w:sz w:val="24"/>
          <w:szCs w:val="24"/>
        </w:rPr>
        <w:t>.</w:t>
      </w:r>
      <w:r w:rsidR="00B77267" w:rsidRPr="002E183C">
        <w:rPr>
          <w:rFonts w:ascii="Arial" w:hAnsi="Arial" w:cs="Arial"/>
          <w:color w:val="auto"/>
          <w:sz w:val="24"/>
          <w:szCs w:val="24"/>
        </w:rPr>
        <w:t xml:space="preserve"> </w:t>
      </w:r>
      <w:r w:rsidR="00A3458C" w:rsidRPr="002E183C">
        <w:rPr>
          <w:rFonts w:ascii="Arial" w:hAnsi="Arial" w:cs="Arial"/>
          <w:color w:val="auto"/>
          <w:sz w:val="24"/>
          <w:szCs w:val="24"/>
        </w:rPr>
        <w:t>The overall ave</w:t>
      </w:r>
      <w:r w:rsidR="002E183C" w:rsidRPr="002E183C">
        <w:rPr>
          <w:rFonts w:ascii="Arial" w:hAnsi="Arial" w:cs="Arial"/>
          <w:color w:val="auto"/>
          <w:sz w:val="24"/>
          <w:szCs w:val="24"/>
        </w:rPr>
        <w:t>rage increase across the site equates to approximately</w:t>
      </w:r>
      <w:r w:rsidR="00A3458C" w:rsidRPr="002E183C">
        <w:rPr>
          <w:rFonts w:ascii="Arial" w:hAnsi="Arial" w:cs="Arial"/>
          <w:color w:val="auto"/>
          <w:sz w:val="24"/>
          <w:szCs w:val="24"/>
        </w:rPr>
        <w:t xml:space="preserve"> £7.16 per month or £85.92 annual increase.</w:t>
      </w:r>
    </w:p>
    <w:p w:rsidR="006F3237" w:rsidRPr="002E183C" w:rsidRDefault="006F3237" w:rsidP="002E183C">
      <w:pPr>
        <w:pStyle w:val="Default"/>
        <w:rPr>
          <w:rFonts w:ascii="Arial" w:hAnsi="Arial" w:cs="Arial"/>
          <w:color w:val="auto"/>
          <w:sz w:val="24"/>
          <w:szCs w:val="24"/>
        </w:rPr>
      </w:pPr>
    </w:p>
    <w:p w:rsidR="00121335" w:rsidRPr="002E183C" w:rsidRDefault="002E183C" w:rsidP="002E183C">
      <w:pPr>
        <w:pStyle w:val="Default"/>
        <w:rPr>
          <w:rFonts w:ascii="Arial" w:hAnsi="Arial" w:cs="Arial"/>
          <w:b/>
          <w:color w:val="auto"/>
          <w:sz w:val="24"/>
          <w:szCs w:val="24"/>
        </w:rPr>
      </w:pPr>
      <w:r w:rsidRPr="002E183C">
        <w:rPr>
          <w:rFonts w:ascii="Arial" w:hAnsi="Arial" w:cs="Arial"/>
          <w:b/>
          <w:color w:val="auto"/>
          <w:sz w:val="24"/>
          <w:szCs w:val="24"/>
        </w:rPr>
        <w:t>Methodology</w:t>
      </w:r>
    </w:p>
    <w:p w:rsidR="00C34410" w:rsidRPr="002E183C" w:rsidRDefault="00C34410" w:rsidP="002E183C">
      <w:pPr>
        <w:pStyle w:val="Default"/>
        <w:rPr>
          <w:rFonts w:ascii="Arial" w:eastAsia="Arial" w:hAnsi="Arial" w:cs="Arial"/>
          <w:color w:val="auto"/>
          <w:sz w:val="24"/>
          <w:szCs w:val="24"/>
        </w:rPr>
      </w:pPr>
    </w:p>
    <w:p w:rsidR="00121335" w:rsidRPr="002E183C" w:rsidRDefault="00AD2A1B" w:rsidP="002E183C">
      <w:pPr>
        <w:pStyle w:val="Default"/>
        <w:rPr>
          <w:rFonts w:ascii="Arial" w:hAnsi="Arial" w:cs="Arial"/>
          <w:color w:val="auto"/>
          <w:sz w:val="24"/>
          <w:szCs w:val="24"/>
        </w:rPr>
      </w:pPr>
      <w:r w:rsidRPr="002E183C">
        <w:rPr>
          <w:rFonts w:ascii="Arial" w:hAnsi="Arial" w:cs="Arial"/>
          <w:color w:val="auto"/>
          <w:sz w:val="24"/>
          <w:szCs w:val="24"/>
        </w:rPr>
        <w:t xml:space="preserve">The Board undertook an exercise in 2018 to compare the current methodology with that given in a sample of leases. It found that while the methodology produces smaller charges (which is to be expected given the increase in the number of properties, they are broadly in line with the </w:t>
      </w:r>
      <w:r w:rsidR="002E183C" w:rsidRPr="002E183C">
        <w:rPr>
          <w:rFonts w:ascii="Arial" w:hAnsi="Arial" w:cs="Arial"/>
          <w:color w:val="auto"/>
          <w:sz w:val="24"/>
          <w:szCs w:val="24"/>
        </w:rPr>
        <w:t xml:space="preserve">proportions given in the leases). </w:t>
      </w:r>
      <w:r w:rsidRPr="002E183C">
        <w:rPr>
          <w:rFonts w:ascii="Arial" w:hAnsi="Arial" w:cs="Arial"/>
          <w:color w:val="auto"/>
          <w:sz w:val="24"/>
          <w:szCs w:val="24"/>
        </w:rPr>
        <w:t xml:space="preserve">The Board is therefore satisfied that </w:t>
      </w:r>
      <w:r w:rsidR="002E183C" w:rsidRPr="002E183C">
        <w:rPr>
          <w:rFonts w:ascii="Arial" w:hAnsi="Arial" w:cs="Arial"/>
          <w:color w:val="auto"/>
          <w:sz w:val="24"/>
          <w:szCs w:val="24"/>
        </w:rPr>
        <w:t xml:space="preserve">the </w:t>
      </w:r>
      <w:r w:rsidRPr="002E183C">
        <w:rPr>
          <w:rFonts w:ascii="Arial" w:hAnsi="Arial" w:cs="Arial"/>
          <w:color w:val="auto"/>
          <w:sz w:val="24"/>
          <w:szCs w:val="24"/>
        </w:rPr>
        <w:t xml:space="preserve">methodology is comparable with the proportions given in the leases. </w:t>
      </w:r>
    </w:p>
    <w:p w:rsidR="00C34410" w:rsidRPr="002E183C" w:rsidRDefault="00C34410" w:rsidP="002E183C">
      <w:pPr>
        <w:pStyle w:val="Default"/>
        <w:rPr>
          <w:rFonts w:ascii="Arial" w:eastAsia="Arial" w:hAnsi="Arial" w:cs="Arial"/>
          <w:color w:val="auto"/>
          <w:sz w:val="24"/>
          <w:szCs w:val="24"/>
        </w:rPr>
      </w:pPr>
    </w:p>
    <w:p w:rsidR="00121335" w:rsidRPr="002E183C" w:rsidRDefault="00AD2A1B" w:rsidP="002E183C">
      <w:pPr>
        <w:pStyle w:val="Default"/>
        <w:rPr>
          <w:rFonts w:ascii="Arial" w:eastAsia="Arial" w:hAnsi="Arial" w:cs="Arial"/>
          <w:color w:val="auto"/>
          <w:sz w:val="24"/>
          <w:szCs w:val="24"/>
        </w:rPr>
      </w:pPr>
      <w:r w:rsidRPr="002E183C">
        <w:rPr>
          <w:rFonts w:ascii="Arial" w:hAnsi="Arial" w:cs="Arial"/>
          <w:color w:val="auto"/>
          <w:sz w:val="24"/>
          <w:szCs w:val="24"/>
        </w:rPr>
        <w:t xml:space="preserve">NEMC Board </w:t>
      </w:r>
    </w:p>
    <w:p w:rsidR="00121335" w:rsidRPr="002E183C" w:rsidRDefault="00A44E29" w:rsidP="002E183C">
      <w:pPr>
        <w:pStyle w:val="Default"/>
        <w:rPr>
          <w:rFonts w:ascii="Arial" w:eastAsia="Arial" w:hAnsi="Arial" w:cs="Arial"/>
          <w:color w:val="auto"/>
          <w:sz w:val="24"/>
          <w:szCs w:val="24"/>
        </w:rPr>
      </w:pPr>
      <w:r>
        <w:rPr>
          <w:rFonts w:ascii="Arial" w:hAnsi="Arial" w:cs="Arial"/>
          <w:color w:val="auto"/>
          <w:sz w:val="24"/>
          <w:szCs w:val="24"/>
        </w:rPr>
        <w:t>2</w:t>
      </w:r>
      <w:r w:rsidR="00AD2A1B" w:rsidRPr="002E183C">
        <w:rPr>
          <w:rFonts w:ascii="Arial" w:hAnsi="Arial" w:cs="Arial"/>
          <w:color w:val="auto"/>
          <w:sz w:val="24"/>
          <w:szCs w:val="24"/>
        </w:rPr>
        <w:t>1st January, 2020</w:t>
      </w:r>
    </w:p>
    <w:p w:rsidR="00121335" w:rsidRPr="002E183C" w:rsidRDefault="00121335" w:rsidP="002E183C">
      <w:pPr>
        <w:pStyle w:val="Default"/>
        <w:rPr>
          <w:rFonts w:ascii="Arial" w:hAnsi="Arial" w:cs="Arial"/>
          <w:color w:val="auto"/>
        </w:rPr>
      </w:pPr>
    </w:p>
    <w:sectPr w:rsidR="00121335" w:rsidRPr="002E183C">
      <w:headerReference w:type="default" r:id="rId7"/>
      <w:footerReference w:type="default" r:id="rId8"/>
      <w:pgSz w:w="11900" w:h="16840"/>
      <w:pgMar w:top="1418" w:right="1418" w:bottom="567"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F3F" w:rsidRDefault="001E0F3F">
      <w:r>
        <w:separator/>
      </w:r>
    </w:p>
  </w:endnote>
  <w:endnote w:type="continuationSeparator" w:id="0">
    <w:p w:rsidR="001E0F3F" w:rsidRDefault="001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35" w:rsidRDefault="00121335">
    <w:pPr>
      <w:pStyle w:val="Body"/>
      <w:rPr>
        <w:sz w:val="20"/>
        <w:szCs w:val="20"/>
      </w:rPr>
    </w:pPr>
  </w:p>
  <w:p w:rsidR="00121335" w:rsidRDefault="00121335">
    <w:pPr>
      <w:pStyle w:val="Body"/>
      <w:rPr>
        <w:rFonts w:ascii="Calibri" w:eastAsia="Calibri" w:hAnsi="Calibri" w:cs="Calibri"/>
        <w:b/>
        <w:bCs/>
        <w:color w:val="808080"/>
        <w:sz w:val="22"/>
        <w:szCs w:val="22"/>
        <w:u w:color="808080"/>
      </w:rPr>
    </w:pPr>
  </w:p>
  <w:p w:rsidR="00121335" w:rsidRDefault="00AD2A1B">
    <w:pPr>
      <w:pStyle w:val="Body"/>
      <w:jc w:val="center"/>
      <w:rPr>
        <w:rFonts w:ascii="Calibri" w:eastAsia="Calibri" w:hAnsi="Calibri" w:cs="Calibri"/>
        <w:b/>
        <w:bCs/>
        <w:color w:val="808080"/>
        <w:sz w:val="22"/>
        <w:szCs w:val="22"/>
        <w:u w:color="808080"/>
      </w:rPr>
    </w:pPr>
    <w:r>
      <w:rPr>
        <w:rFonts w:ascii="Calibri" w:eastAsia="Calibri" w:hAnsi="Calibri" w:cs="Calibri"/>
        <w:b/>
        <w:bCs/>
        <w:color w:val="808080"/>
        <w:sz w:val="22"/>
        <w:szCs w:val="22"/>
        <w:u w:color="808080"/>
      </w:rPr>
      <w:t>Nether Edge Management Company Limited</w:t>
    </w:r>
  </w:p>
  <w:p w:rsidR="00121335" w:rsidRDefault="00AD2A1B">
    <w:pPr>
      <w:pStyle w:val="Body"/>
      <w:jc w:val="center"/>
      <w:rPr>
        <w:rFonts w:ascii="Calibri" w:eastAsia="Calibri" w:hAnsi="Calibri" w:cs="Calibri"/>
        <w:b/>
        <w:bCs/>
        <w:color w:val="808080"/>
        <w:sz w:val="22"/>
        <w:szCs w:val="22"/>
        <w:u w:color="808080"/>
      </w:rPr>
    </w:pPr>
    <w:r>
      <w:rPr>
        <w:rFonts w:ascii="Calibri" w:eastAsia="Calibri" w:hAnsi="Calibri" w:cs="Calibri"/>
        <w:b/>
        <w:bCs/>
        <w:color w:val="808080"/>
        <w:sz w:val="22"/>
        <w:szCs w:val="22"/>
        <w:u w:color="808080"/>
      </w:rPr>
      <w:t>Estates Office and Leisure Suite</w:t>
    </w:r>
  </w:p>
  <w:p w:rsidR="00121335" w:rsidRDefault="00AD2A1B">
    <w:pPr>
      <w:pStyle w:val="Body"/>
      <w:jc w:val="center"/>
      <w:rPr>
        <w:rFonts w:ascii="Calibri" w:eastAsia="Calibri" w:hAnsi="Calibri" w:cs="Calibri"/>
        <w:b/>
        <w:bCs/>
        <w:color w:val="808080"/>
        <w:sz w:val="22"/>
        <w:szCs w:val="22"/>
        <w:u w:color="808080"/>
      </w:rPr>
    </w:pPr>
    <w:r>
      <w:rPr>
        <w:rFonts w:ascii="Calibri" w:eastAsia="Calibri" w:hAnsi="Calibri" w:cs="Calibri"/>
        <w:b/>
        <w:bCs/>
        <w:color w:val="808080"/>
        <w:sz w:val="22"/>
        <w:szCs w:val="22"/>
        <w:u w:color="808080"/>
      </w:rPr>
      <w:t>Osborne Mews</w:t>
    </w:r>
    <w:r w:rsidR="00EB3476">
      <w:rPr>
        <w:rFonts w:ascii="Calibri" w:eastAsia="Calibri" w:hAnsi="Calibri" w:cs="Calibri"/>
        <w:b/>
        <w:bCs/>
        <w:color w:val="808080"/>
        <w:sz w:val="22"/>
        <w:szCs w:val="22"/>
        <w:u w:color="808080"/>
      </w:rPr>
      <w:t xml:space="preserve">  </w:t>
    </w:r>
    <w:r>
      <w:rPr>
        <w:rFonts w:ascii="Calibri" w:eastAsia="Calibri" w:hAnsi="Calibri" w:cs="Calibri"/>
        <w:b/>
        <w:bCs/>
        <w:color w:val="808080"/>
        <w:sz w:val="22"/>
        <w:szCs w:val="22"/>
        <w:u w:color="808080"/>
      </w:rPr>
      <w:t xml:space="preserve"> Osborne Road</w:t>
    </w:r>
  </w:p>
  <w:p w:rsidR="00121335" w:rsidRDefault="00AD2A1B">
    <w:pPr>
      <w:pStyle w:val="Body"/>
      <w:jc w:val="center"/>
      <w:rPr>
        <w:rFonts w:ascii="Calibri" w:eastAsia="Calibri" w:hAnsi="Calibri" w:cs="Calibri"/>
        <w:color w:val="808080"/>
        <w:sz w:val="22"/>
        <w:szCs w:val="22"/>
        <w:u w:color="808080"/>
      </w:rPr>
    </w:pPr>
    <w:r>
      <w:rPr>
        <w:rFonts w:ascii="Calibri" w:eastAsia="Calibri" w:hAnsi="Calibri" w:cs="Calibri"/>
        <w:b/>
        <w:bCs/>
        <w:color w:val="808080"/>
        <w:sz w:val="22"/>
        <w:szCs w:val="22"/>
        <w:u w:color="808080"/>
      </w:rPr>
      <w:t>Sheffield</w:t>
    </w:r>
    <w:r w:rsidR="00EB3476">
      <w:rPr>
        <w:rFonts w:ascii="Calibri" w:eastAsia="Calibri" w:hAnsi="Calibri" w:cs="Calibri"/>
        <w:b/>
        <w:bCs/>
        <w:color w:val="808080"/>
        <w:sz w:val="22"/>
        <w:szCs w:val="22"/>
        <w:u w:color="808080"/>
      </w:rPr>
      <w:t xml:space="preserve">    </w:t>
    </w:r>
    <w:r>
      <w:rPr>
        <w:rFonts w:ascii="Calibri" w:eastAsia="Calibri" w:hAnsi="Calibri" w:cs="Calibri"/>
        <w:b/>
        <w:bCs/>
        <w:color w:val="808080"/>
        <w:sz w:val="22"/>
        <w:szCs w:val="22"/>
        <w:u w:color="808080"/>
      </w:rPr>
      <w:t>S11 9EG</w:t>
    </w:r>
  </w:p>
  <w:p w:rsidR="00121335" w:rsidRDefault="00AD2A1B" w:rsidP="00EB3476">
    <w:pPr>
      <w:pStyle w:val="Body"/>
      <w:tabs>
        <w:tab w:val="left" w:pos="2093"/>
      </w:tabs>
      <w:jc w:val="center"/>
      <w:rPr>
        <w:rFonts w:ascii="Calibri" w:eastAsia="Calibri" w:hAnsi="Calibri" w:cs="Calibri"/>
        <w:color w:val="808080"/>
        <w:sz w:val="22"/>
        <w:szCs w:val="22"/>
        <w:u w:color="808080"/>
      </w:rPr>
    </w:pPr>
    <w:r>
      <w:rPr>
        <w:rFonts w:ascii="Calibri" w:eastAsia="Calibri" w:hAnsi="Calibri" w:cs="Calibri"/>
        <w:color w:val="808080"/>
        <w:sz w:val="22"/>
        <w:szCs w:val="22"/>
        <w:u w:color="808080"/>
      </w:rPr>
      <w:t>Company Number: 4218253</w:t>
    </w:r>
  </w:p>
  <w:p w:rsidR="00121335" w:rsidRDefault="00AD2A1B">
    <w:pPr>
      <w:pStyle w:val="Body"/>
      <w:jc w:val="center"/>
      <w:rPr>
        <w:rFonts w:ascii="Calibri" w:eastAsia="Calibri" w:hAnsi="Calibri" w:cs="Calibri"/>
        <w:color w:val="808080"/>
        <w:sz w:val="22"/>
        <w:szCs w:val="22"/>
        <w:u w:color="808080"/>
      </w:rPr>
    </w:pPr>
    <w:r>
      <w:rPr>
        <w:rFonts w:ascii="Calibri" w:eastAsia="Calibri" w:hAnsi="Calibri" w:cs="Calibri"/>
        <w:color w:val="808080"/>
        <w:sz w:val="22"/>
        <w:szCs w:val="22"/>
        <w:u w:color="808080"/>
      </w:rPr>
      <w:t xml:space="preserve">NEMC Board Email: </w:t>
    </w:r>
    <w:hyperlink r:id="rId1" w:history="1">
      <w:r>
        <w:rPr>
          <w:rStyle w:val="Hyperlink0"/>
          <w:rFonts w:ascii="Calibri" w:eastAsia="Calibri" w:hAnsi="Calibri" w:cs="Calibri"/>
          <w:sz w:val="22"/>
          <w:szCs w:val="22"/>
          <w:u w:val="single"/>
        </w:rPr>
        <w:t>nemcboard@outlook.com</w:t>
      </w:r>
    </w:hyperlink>
  </w:p>
  <w:p w:rsidR="00121335" w:rsidRDefault="00AD2A1B">
    <w:pPr>
      <w:pStyle w:val="Body"/>
      <w:jc w:val="center"/>
      <w:rPr>
        <w:rFonts w:ascii="Calibri" w:eastAsia="Calibri" w:hAnsi="Calibri" w:cs="Calibri"/>
        <w:color w:val="808080"/>
        <w:sz w:val="22"/>
        <w:szCs w:val="22"/>
        <w:u w:color="808080"/>
      </w:rPr>
    </w:pPr>
    <w:r>
      <w:rPr>
        <w:rFonts w:ascii="Calibri" w:eastAsia="Calibri" w:hAnsi="Calibri" w:cs="Calibri"/>
        <w:color w:val="808080"/>
        <w:sz w:val="22"/>
        <w:szCs w:val="22"/>
        <w:u w:color="808080"/>
      </w:rPr>
      <w:t>Estates Office: 0114 258 2612</w:t>
    </w:r>
  </w:p>
  <w:p w:rsidR="00121335" w:rsidRDefault="00AD2A1B">
    <w:pPr>
      <w:pStyle w:val="Body"/>
      <w:jc w:val="center"/>
      <w:rPr>
        <w:rFonts w:ascii="Calibri" w:eastAsia="Calibri" w:hAnsi="Calibri" w:cs="Calibri"/>
        <w:color w:val="808080"/>
        <w:sz w:val="22"/>
        <w:szCs w:val="22"/>
        <w:u w:color="808080"/>
      </w:rPr>
    </w:pPr>
    <w:r>
      <w:rPr>
        <w:rFonts w:ascii="Calibri" w:eastAsia="Calibri" w:hAnsi="Calibri" w:cs="Calibri"/>
        <w:color w:val="808080"/>
        <w:sz w:val="22"/>
        <w:szCs w:val="22"/>
        <w:u w:color="808080"/>
      </w:rPr>
      <w:t xml:space="preserve">Email: </w:t>
    </w:r>
    <w:hyperlink r:id="rId2" w:history="1">
      <w:r>
        <w:rPr>
          <w:rStyle w:val="Hyperlink0"/>
          <w:rFonts w:ascii="Calibri" w:eastAsia="Calibri" w:hAnsi="Calibri" w:cs="Calibri"/>
          <w:sz w:val="22"/>
          <w:szCs w:val="22"/>
          <w:u w:val="single"/>
        </w:rPr>
        <w:t>estatesoffice@netheredgeliving.co.uk</w:t>
      </w:r>
    </w:hyperlink>
  </w:p>
  <w:p w:rsidR="00121335" w:rsidRDefault="00AD2A1B">
    <w:pPr>
      <w:pStyle w:val="Body"/>
      <w:jc w:val="center"/>
      <w:rPr>
        <w:rFonts w:ascii="Calibri" w:eastAsia="Calibri" w:hAnsi="Calibri" w:cs="Calibri"/>
        <w:color w:val="808080"/>
        <w:sz w:val="22"/>
        <w:szCs w:val="22"/>
        <w:u w:color="808080"/>
      </w:rPr>
    </w:pPr>
    <w:r>
      <w:rPr>
        <w:rFonts w:ascii="Calibri" w:eastAsia="Calibri" w:hAnsi="Calibri" w:cs="Calibri"/>
        <w:color w:val="808080"/>
        <w:sz w:val="22"/>
        <w:szCs w:val="22"/>
        <w:u w:color="808080"/>
      </w:rPr>
      <w:t xml:space="preserve">Website: </w:t>
    </w:r>
    <w:hyperlink r:id="rId3" w:history="1">
      <w:r>
        <w:rPr>
          <w:rStyle w:val="Hyperlink0"/>
          <w:rFonts w:ascii="Calibri" w:eastAsia="Calibri" w:hAnsi="Calibri" w:cs="Calibri"/>
          <w:sz w:val="22"/>
          <w:szCs w:val="22"/>
          <w:u w:val="single"/>
        </w:rPr>
        <w:t>www.netheredgeliving.co.uk</w:t>
      </w:r>
    </w:hyperlink>
  </w:p>
  <w:p w:rsidR="00121335" w:rsidRDefault="00121335">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F3F" w:rsidRDefault="001E0F3F">
      <w:r>
        <w:separator/>
      </w:r>
    </w:p>
  </w:footnote>
  <w:footnote w:type="continuationSeparator" w:id="0">
    <w:p w:rsidR="001E0F3F" w:rsidRDefault="001E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35" w:rsidRDefault="00AD2A1B">
    <w:pPr>
      <w:pStyle w:val="Header"/>
      <w:jc w:val="center"/>
    </w:pPr>
    <w:r>
      <w:rPr>
        <w:noProof/>
        <w:lang w:val="en-GB" w:eastAsia="en-GB"/>
      </w:rPr>
      <w:drawing>
        <wp:anchor distT="152400" distB="152400" distL="152400" distR="152400" simplePos="0" relativeHeight="251658240" behindDoc="1" locked="0" layoutInCell="1" allowOverlap="1">
          <wp:simplePos x="0" y="0"/>
          <wp:positionH relativeFrom="page">
            <wp:posOffset>3110864</wp:posOffset>
          </wp:positionH>
          <wp:positionV relativeFrom="page">
            <wp:posOffset>83127</wp:posOffset>
          </wp:positionV>
          <wp:extent cx="1211283" cy="1154057"/>
          <wp:effectExtent l="0" t="0" r="0" b="0"/>
          <wp:wrapNone/>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image1.jpg" descr="logo.jpg"/>
                  <pic:cNvPicPr>
                    <a:picLocks noChangeAspect="1"/>
                  </pic:cNvPicPr>
                </pic:nvPicPr>
                <pic:blipFill>
                  <a:blip r:embed="rId1"/>
                  <a:stretch>
                    <a:fillRect/>
                  </a:stretch>
                </pic:blipFill>
                <pic:spPr>
                  <a:xfrm>
                    <a:off x="0" y="0"/>
                    <a:ext cx="1211283" cy="1154057"/>
                  </a:xfrm>
                  <a:prstGeom prst="rect">
                    <a:avLst/>
                  </a:prstGeom>
                  <a:ln w="12700" cap="flat">
                    <a:noFill/>
                    <a:miter lim="400000"/>
                  </a:ln>
                  <a:effectLst/>
                </pic:spPr>
              </pic:pic>
            </a:graphicData>
          </a:graphic>
        </wp:anchor>
      </w:drawing>
    </w:r>
  </w:p>
  <w:p w:rsidR="00121335" w:rsidRDefault="00121335">
    <w:pPr>
      <w:pStyle w:val="Header"/>
      <w:jc w:val="center"/>
    </w:pPr>
  </w:p>
  <w:p w:rsidR="00121335" w:rsidRDefault="00121335">
    <w:pPr>
      <w:pStyle w:val="Header"/>
      <w:jc w:val="center"/>
      <w:rPr>
        <w:b/>
        <w:bCs/>
        <w:color w:val="808080"/>
        <w:sz w:val="28"/>
        <w:szCs w:val="28"/>
        <w:u w:color="808080"/>
      </w:rPr>
    </w:pPr>
  </w:p>
  <w:p w:rsidR="00121335" w:rsidRDefault="00121335">
    <w:pPr>
      <w:pStyle w:val="Header"/>
      <w:jc w:val="center"/>
      <w:rPr>
        <w:b/>
        <w:bCs/>
        <w:color w:val="808080"/>
        <w:sz w:val="28"/>
        <w:szCs w:val="28"/>
        <w:u w:color="808080"/>
      </w:rPr>
    </w:pPr>
  </w:p>
  <w:p w:rsidR="00121335" w:rsidRDefault="00121335">
    <w:pPr>
      <w:pStyle w:val="Header"/>
      <w:jc w:val="center"/>
      <w:rPr>
        <w:b/>
        <w:bCs/>
        <w:color w:val="808080"/>
        <w:sz w:val="28"/>
        <w:szCs w:val="28"/>
        <w:u w:color="808080"/>
      </w:rPr>
    </w:pPr>
  </w:p>
  <w:p w:rsidR="00121335" w:rsidRDefault="00121335">
    <w:pPr>
      <w:pStyle w:val="Header"/>
      <w:jc w:val="center"/>
      <w:rPr>
        <w:b/>
        <w:bCs/>
        <w:color w:val="808080"/>
        <w:sz w:val="28"/>
        <w:szCs w:val="28"/>
        <w:u w:color="808080"/>
      </w:rPr>
    </w:pPr>
  </w:p>
  <w:p w:rsidR="00121335" w:rsidRDefault="00121335">
    <w:pPr>
      <w:pStyle w:val="Header"/>
      <w:jc w:val="center"/>
      <w:rPr>
        <w:b/>
        <w:bCs/>
        <w:color w:val="808080"/>
        <w:sz w:val="28"/>
        <w:szCs w:val="28"/>
        <w:u w:color="808080"/>
      </w:rPr>
    </w:pPr>
  </w:p>
  <w:p w:rsidR="00121335" w:rsidRDefault="00AD2A1B">
    <w:pPr>
      <w:pStyle w:val="Header"/>
      <w:jc w:val="center"/>
    </w:pPr>
    <w:r>
      <w:rPr>
        <w:b/>
        <w:bCs/>
        <w:color w:val="808080"/>
        <w:sz w:val="28"/>
        <w:szCs w:val="28"/>
        <w:u w:color="808080"/>
      </w:rPr>
      <w:t>Nether Edge Management Company Limited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35"/>
    <w:rsid w:val="000D18A3"/>
    <w:rsid w:val="00121335"/>
    <w:rsid w:val="001E0F3F"/>
    <w:rsid w:val="002E183C"/>
    <w:rsid w:val="005743CF"/>
    <w:rsid w:val="006F3237"/>
    <w:rsid w:val="00721084"/>
    <w:rsid w:val="008540A6"/>
    <w:rsid w:val="009A61BC"/>
    <w:rsid w:val="009D20EE"/>
    <w:rsid w:val="00A3458C"/>
    <w:rsid w:val="00A44E29"/>
    <w:rsid w:val="00AD2A1B"/>
    <w:rsid w:val="00B77267"/>
    <w:rsid w:val="00C34410"/>
    <w:rsid w:val="00C80485"/>
    <w:rsid w:val="00C921BA"/>
    <w:rsid w:val="00CF0F34"/>
    <w:rsid w:val="00D1625D"/>
    <w:rsid w:val="00EB3476"/>
    <w:rsid w:val="00EB4D71"/>
    <w:rsid w:val="00F5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68865-1EDA-443B-8A9D-E1E96A39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u w:color="000000"/>
    </w:rPr>
  </w:style>
  <w:style w:type="paragraph" w:customStyle="1" w:styleId="Body">
    <w:name w:val="Body"/>
    <w:rPr>
      <w:rFonts w:ascii="Arial" w:eastAsia="Arial" w:hAnsi="Arial" w:cs="Arial"/>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none" w:color="0000FF"/>
      <w:lang w:val="en-US"/>
    </w:rPr>
  </w:style>
  <w:style w:type="paragraph" w:customStyle="1" w:styleId="Default">
    <w:name w:val="Default"/>
    <w:rPr>
      <w:rFonts w:ascii="Helvetica" w:eastAsia="Helvetica" w:hAnsi="Helvetica" w:cs="Helvetica"/>
      <w:color w:val="000000"/>
      <w:sz w:val="22"/>
      <w:szCs w:val="22"/>
    </w:rPr>
  </w:style>
  <w:style w:type="paragraph" w:styleId="Footer">
    <w:name w:val="footer"/>
    <w:basedOn w:val="Normal"/>
    <w:link w:val="FooterChar"/>
    <w:uiPriority w:val="99"/>
    <w:unhideWhenUsed/>
    <w:rsid w:val="00EB3476"/>
    <w:pPr>
      <w:tabs>
        <w:tab w:val="center" w:pos="4680"/>
        <w:tab w:val="right" w:pos="9360"/>
      </w:tabs>
    </w:pPr>
  </w:style>
  <w:style w:type="character" w:customStyle="1" w:styleId="FooterChar">
    <w:name w:val="Footer Char"/>
    <w:basedOn w:val="DefaultParagraphFont"/>
    <w:link w:val="Footer"/>
    <w:uiPriority w:val="99"/>
    <w:rsid w:val="00EB3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etheredgeliving.co.uk" TargetMode="External"/><Relationship Id="rId2" Type="http://schemas.openxmlformats.org/officeDocument/2006/relationships/hyperlink" Target="mailto:estatesoffice@netheredgeliving.co.uk" TargetMode="External"/><Relationship Id="rId1" Type="http://schemas.openxmlformats.org/officeDocument/2006/relationships/hyperlink" Target="mailto:nemcboar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2094-ABB9-4E41-8DF3-0F35E160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Tracey Baker</cp:lastModifiedBy>
  <cp:revision>2</cp:revision>
  <dcterms:created xsi:type="dcterms:W3CDTF">2020-01-22T08:09:00Z</dcterms:created>
  <dcterms:modified xsi:type="dcterms:W3CDTF">2020-01-22T08:09:00Z</dcterms:modified>
</cp:coreProperties>
</file>